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40"/>
          <w:szCs w:val="21"/>
        </w:rPr>
      </w:pPr>
      <w:bookmarkStart w:id="0" w:name="_Toc482709140"/>
      <w:bookmarkStart w:id="1" w:name="_Toc482365823"/>
      <w:r>
        <w:rPr>
          <w:rFonts w:hint="eastAsia"/>
          <w:sz w:val="40"/>
          <w:szCs w:val="21"/>
          <w:lang w:val="en-US" w:eastAsia="zh-CN"/>
        </w:rPr>
        <w:t>UCloud</w:t>
      </w:r>
      <w:r>
        <w:rPr>
          <w:rFonts w:hint="eastAsia"/>
          <w:sz w:val="40"/>
          <w:szCs w:val="21"/>
        </w:rPr>
        <w:t>数据库</w:t>
      </w:r>
      <w:r>
        <w:rPr>
          <w:sz w:val="40"/>
          <w:szCs w:val="21"/>
        </w:rPr>
        <w:t>审计</w:t>
      </w:r>
      <w:r>
        <w:rPr>
          <w:rFonts w:hint="eastAsia"/>
          <w:sz w:val="40"/>
          <w:szCs w:val="21"/>
        </w:rPr>
        <w:t>产品</w:t>
      </w:r>
      <w:r>
        <w:rPr>
          <w:sz w:val="40"/>
          <w:szCs w:val="21"/>
        </w:rPr>
        <w:t>快速</w:t>
      </w:r>
      <w:r>
        <w:rPr>
          <w:rFonts w:hint="eastAsia"/>
          <w:sz w:val="40"/>
          <w:szCs w:val="21"/>
          <w:lang w:val="en-US" w:eastAsia="zh-CN"/>
        </w:rPr>
        <w:t>配置</w:t>
      </w:r>
      <w:r>
        <w:rPr>
          <w:sz w:val="40"/>
          <w:szCs w:val="21"/>
        </w:rPr>
        <w:t>指南</w:t>
      </w:r>
    </w:p>
    <w:p>
      <w:pPr>
        <w:pStyle w:val="2"/>
        <w:jc w:val="center"/>
        <w:rPr>
          <w:rFonts w:hint="eastAsia" w:eastAsiaTheme="minorEastAsia"/>
          <w:sz w:val="40"/>
          <w:szCs w:val="21"/>
          <w:lang w:eastAsia="zh-CN"/>
        </w:rPr>
      </w:pPr>
      <w:r>
        <w:rPr>
          <w:rFonts w:hint="eastAsia"/>
          <w:sz w:val="40"/>
          <w:szCs w:val="21"/>
          <w:lang w:eastAsia="zh-CN"/>
        </w:rPr>
        <w:t>（</w:t>
      </w:r>
      <w:r>
        <w:rPr>
          <w:rFonts w:hint="eastAsia"/>
          <w:sz w:val="40"/>
          <w:szCs w:val="21"/>
          <w:lang w:val="en-US" w:eastAsia="zh-CN"/>
        </w:rPr>
        <w:t>自建数据库</w:t>
      </w:r>
      <w:r>
        <w:rPr>
          <w:rFonts w:hint="eastAsia"/>
          <w:sz w:val="40"/>
          <w:szCs w:val="21"/>
          <w:lang w:eastAsia="zh-CN"/>
        </w:rPr>
        <w:t>）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购买注意点</w:t>
      </w:r>
    </w:p>
    <w:p>
      <w:pPr>
        <w:rPr>
          <w:rFonts w:hint="eastAsia"/>
          <w:color w:val="auto"/>
          <w:sz w:val="21"/>
          <w:szCs w:val="11"/>
          <w:lang w:val="en-US" w:eastAsia="zh-CN"/>
        </w:rPr>
      </w:pPr>
      <w:r>
        <w:rPr>
          <w:rFonts w:hint="eastAsia"/>
          <w:color w:val="auto"/>
          <w:sz w:val="28"/>
          <w:szCs w:val="16"/>
          <w:lang w:val="en-US" w:eastAsia="zh-CN"/>
        </w:rPr>
        <w:t>1.</w:t>
      </w:r>
      <w:r>
        <w:rPr>
          <w:rFonts w:hint="eastAsia"/>
          <w:color w:val="auto"/>
          <w:sz w:val="21"/>
          <w:szCs w:val="11"/>
          <w:lang w:val="en-US" w:eastAsia="zh-CN"/>
        </w:rPr>
        <w:t>使用数据库审计之前，需要在数据库（对数据库性能有一定的影响，流量大不建议使用）/访问数据库的服务器上部署agent（详见agent配置手册）。</w:t>
      </w:r>
    </w:p>
    <w:p>
      <w:pPr>
        <w:rPr>
          <w:rFonts w:hint="default"/>
          <w:color w:val="auto"/>
          <w:sz w:val="21"/>
          <w:szCs w:val="11"/>
          <w:lang w:val="en-US" w:eastAsia="zh-CN"/>
        </w:rPr>
      </w:pPr>
      <w:r>
        <w:rPr>
          <w:rFonts w:hint="eastAsia"/>
          <w:color w:val="auto"/>
          <w:sz w:val="21"/>
          <w:szCs w:val="11"/>
          <w:lang w:val="en-US" w:eastAsia="zh-CN"/>
        </w:rPr>
        <w:t>2.</w:t>
      </w:r>
      <w:r>
        <w:rPr>
          <w:rFonts w:hint="eastAsia"/>
          <w:color w:val="FF0000"/>
          <w:sz w:val="21"/>
          <w:szCs w:val="11"/>
          <w:lang w:val="en-US" w:eastAsia="zh-CN"/>
        </w:rPr>
        <w:t>数据库审计与agent必须网络可达，尽量内网相通</w:t>
      </w:r>
    </w:p>
    <w:p>
      <w:pPr>
        <w:rPr>
          <w:rFonts w:hint="eastAsia"/>
          <w:color w:val="auto"/>
          <w:sz w:val="21"/>
          <w:szCs w:val="11"/>
          <w:lang w:val="en-US" w:eastAsia="zh-CN"/>
        </w:rPr>
      </w:pPr>
      <w:r>
        <w:rPr>
          <w:rFonts w:hint="eastAsia"/>
          <w:color w:val="auto"/>
          <w:sz w:val="21"/>
          <w:szCs w:val="11"/>
          <w:lang w:val="en-US" w:eastAsia="zh-CN"/>
        </w:rPr>
        <w:t>3、数据库审计不支持删除退费（季度/年付）</w:t>
      </w:r>
    </w:p>
    <w:p>
      <w:pPr>
        <w:rPr>
          <w:rFonts w:hint="default"/>
          <w:b/>
          <w:bCs/>
          <w:color w:val="auto"/>
          <w:sz w:val="32"/>
          <w:szCs w:val="18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18"/>
          <w:lang w:val="en-US" w:eastAsia="zh-CN"/>
        </w:rPr>
        <w:t>4、数据库审计各平台账号密码：</w:t>
      </w:r>
    </w:p>
    <w:p>
      <w:pPr>
        <w:ind w:firstLine="630" w:firstLineChars="300"/>
        <w:rPr>
          <w:rFonts w:hint="eastAsia"/>
          <w:color w:val="auto"/>
          <w:sz w:val="21"/>
          <w:szCs w:val="11"/>
          <w:lang w:val="en-US" w:eastAsia="zh-CN"/>
        </w:rPr>
      </w:pPr>
      <w:r>
        <w:rPr>
          <w:rFonts w:hint="eastAsia"/>
          <w:color w:val="auto"/>
          <w:sz w:val="21"/>
          <w:szCs w:val="11"/>
          <w:lang w:val="en-US" w:eastAsia="zh-CN"/>
        </w:rPr>
        <w:t>审计管理平台：auditadmin/!1fw@2soc#3vpn</w:t>
      </w:r>
    </w:p>
    <w:p>
      <w:pPr>
        <w:ind w:firstLine="630" w:firstLineChars="300"/>
        <w:rPr>
          <w:rFonts w:hint="eastAsia"/>
          <w:color w:val="auto"/>
          <w:sz w:val="21"/>
          <w:szCs w:val="11"/>
          <w:lang w:val="en-US" w:eastAsia="zh-CN"/>
        </w:rPr>
      </w:pPr>
      <w:r>
        <w:rPr>
          <w:rFonts w:hint="eastAsia"/>
          <w:color w:val="auto"/>
          <w:sz w:val="21"/>
          <w:szCs w:val="11"/>
          <w:lang w:val="en-US" w:eastAsia="zh-CN"/>
        </w:rPr>
        <w:t>规则管理平台：ruleadmin/!1fw@2soc#3vpn</w:t>
      </w:r>
    </w:p>
    <w:p>
      <w:pPr>
        <w:ind w:firstLine="630" w:firstLineChars="300"/>
        <w:rPr>
          <w:rFonts w:hint="default"/>
          <w:color w:val="auto"/>
          <w:sz w:val="21"/>
          <w:szCs w:val="11"/>
          <w:lang w:val="en-US" w:eastAsia="zh-CN"/>
        </w:rPr>
      </w:pPr>
      <w:r>
        <w:rPr>
          <w:rFonts w:hint="eastAsia"/>
          <w:color w:val="auto"/>
          <w:sz w:val="21"/>
          <w:szCs w:val="11"/>
          <w:lang w:val="en-US" w:eastAsia="zh-CN"/>
        </w:rPr>
        <w:t>系统管理平台：admin/!1fw@2soc#3vpn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4"/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第一部分、产品购买</w:t>
      </w:r>
    </w:p>
    <w:p>
      <w:pPr>
        <w:rPr>
          <w:rStyle w:val="8"/>
          <w:rFonts w:hint="eastAsia"/>
          <w:sz w:val="36"/>
          <w:szCs w:val="20"/>
          <w:lang w:val="en-US" w:eastAsia="zh-CN"/>
        </w:rPr>
      </w:pPr>
      <w:r>
        <w:rPr>
          <w:rFonts w:hint="eastAsia"/>
          <w:sz w:val="21"/>
          <w:szCs w:val="20"/>
          <w:lang w:val="en-US" w:eastAsia="zh-CN"/>
        </w:rPr>
        <w:t>登录控制台，选择左上角产品与服务，并找到优盾下面对应的数据库审计一栏，进入并完成产品购买和安装页面</w:t>
      </w:r>
    </w:p>
    <w:p>
      <w:pPr>
        <w:ind w:left="5400" w:hanging="5400" w:hangingChars="2250"/>
        <w:jc w:val="left"/>
      </w:pPr>
      <w:r>
        <w:drawing>
          <wp:inline distT="0" distB="0" distL="114300" distR="114300">
            <wp:extent cx="4481195" cy="2049780"/>
            <wp:effectExtent l="0" t="0" r="14605" b="762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1195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5400" w:hanging="4950" w:hangingChars="2250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sz w:val="22"/>
          <w:szCs w:val="21"/>
          <w:lang w:val="en-US" w:eastAsia="zh-CN"/>
        </w:rPr>
        <w:t>点击购买数据库审计，并选择相应的配置，完整支付及自动创建（大约5分钟</w:t>
      </w:r>
      <w:r>
        <w:rPr>
          <w:rFonts w:hint="eastAsia"/>
          <w:lang w:val="en-US" w:eastAsia="zh-CN"/>
        </w:rPr>
        <w:t>）</w:t>
      </w:r>
    </w:p>
    <w:p>
      <w:pPr>
        <w:ind w:left="5400" w:hanging="5400" w:hangingChars="2250"/>
        <w:jc w:val="left"/>
      </w:pPr>
      <w:r>
        <w:drawing>
          <wp:inline distT="0" distB="0" distL="114300" distR="114300">
            <wp:extent cx="3966210" cy="1797685"/>
            <wp:effectExtent l="0" t="0" r="15240" b="1206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6210" cy="1797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</w:pPr>
      <w:r>
        <w:drawing>
          <wp:inline distT="0" distB="0" distL="114300" distR="114300">
            <wp:extent cx="5262880" cy="1596390"/>
            <wp:effectExtent l="0" t="0" r="13970" b="381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596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第二部分、申请产品授权</w:t>
      </w:r>
    </w:p>
    <w:p>
      <w:pPr>
        <w:rPr>
          <w:rFonts w:hint="eastAsia"/>
          <w:lang w:val="en-US" w:eastAsia="zh-CN"/>
        </w:rPr>
      </w:pPr>
      <w:r>
        <w:rPr>
          <w:rFonts w:hint="eastAsia"/>
          <w:color w:val="FF0000"/>
          <w:sz w:val="22"/>
          <w:szCs w:val="21"/>
          <w:lang w:val="en-US" w:eastAsia="zh-CN"/>
        </w:rPr>
        <w:t>默认创建的数据库审计是没有license授权的，需要联系技术支持，找到对应的产品负责人进行申请</w:t>
      </w:r>
      <w:r>
        <w:rPr>
          <w:rFonts w:hint="eastAsia"/>
          <w:lang w:val="en-US" w:eastAsia="zh-CN"/>
        </w:rPr>
        <w:t>。</w:t>
      </w:r>
    </w:p>
    <w:bookmarkEnd w:id="0"/>
    <w:bookmarkEnd w:id="1"/>
    <w:p>
      <w:r>
        <w:drawing>
          <wp:inline distT="0" distB="0" distL="114300" distR="114300">
            <wp:extent cx="5262245" cy="1744345"/>
            <wp:effectExtent l="0" t="0" r="14605" b="825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744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200"/>
        <w:jc w:val="left"/>
        <w:rPr>
          <w:rFonts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/>
          <w:sz w:val="22"/>
          <w:szCs w:val="22"/>
        </w:rPr>
        <w:t>打开浏览器，在地址栏输入</w:t>
      </w:r>
      <w:r>
        <w:rPr>
          <w:rFonts w:hint="eastAsia" w:asciiTheme="minorEastAsia" w:hAnsiTheme="minorEastAsia"/>
          <w:sz w:val="22"/>
          <w:szCs w:val="22"/>
          <w:lang w:val="en-US" w:eastAsia="zh-CN"/>
        </w:rPr>
        <w:t>设备https://EIP（建议使用Google浏览器），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登录系统管理员页面</w:t>
      </w:r>
      <w:r>
        <w:rPr>
          <w:rFonts w:ascii="宋体" w:hAnsi="宋体" w:eastAsia="宋体" w:cs="宋体"/>
          <w:kern w:val="0"/>
          <w:sz w:val="22"/>
          <w:szCs w:val="22"/>
          <w:lang w:val="en-US" w:eastAsia="zh-CN" w:bidi="ar"/>
        </w:rPr>
        <w:t xml:space="preserve">admin/!1fw@2soc#3vpn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，下载注册信息文件，将授权给到申请人</w:t>
      </w:r>
      <w:r>
        <w:drawing>
          <wp:inline distT="0" distB="0" distL="114300" distR="114300">
            <wp:extent cx="5046980" cy="2942590"/>
            <wp:effectExtent l="0" t="0" r="1270" b="10160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6980" cy="2942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</w:pPr>
      <w:r>
        <w:rPr>
          <w:rFonts w:hint="eastAsia"/>
          <w:sz w:val="22"/>
          <w:szCs w:val="21"/>
          <w:lang w:val="en-US" w:eastAsia="zh-CN"/>
        </w:rPr>
        <w:t>拿到授权文件进行文件导入，导入之后就可以看到数据库审计具体的实例个数和有效时间（申请授权等待期间，也可同步进行以下操作）</w:t>
      </w:r>
      <w:bookmarkStart w:id="2" w:name="_GoBack"/>
      <w:bookmarkEnd w:id="2"/>
      <w:r>
        <w:drawing>
          <wp:inline distT="0" distB="0" distL="114300" distR="114300">
            <wp:extent cx="5266690" cy="3031490"/>
            <wp:effectExtent l="0" t="0" r="10160" b="16510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03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第三部分、部署agent</w:t>
      </w: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>详见agent使用说明</w:t>
      </w:r>
    </w:p>
    <w:p>
      <w:pPr>
        <w:pStyle w:val="4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第四部分、配置审计规则</w:t>
      </w:r>
    </w:p>
    <w:p>
      <w:pPr>
        <w:widowControl/>
        <w:ind w:firstLine="480" w:firstLineChars="200"/>
        <w:jc w:val="left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打开浏览器，在地址栏输入http</w:t>
      </w:r>
      <w:r>
        <w:rPr>
          <w:rFonts w:hint="eastAsia" w:asciiTheme="minorEastAsia" w:hAnsiTheme="minorEastAsia"/>
          <w:szCs w:val="24"/>
          <w:lang w:val="en-US" w:eastAsia="zh-CN"/>
        </w:rPr>
        <w:t>s</w:t>
      </w:r>
      <w:r>
        <w:rPr>
          <w:rFonts w:hint="eastAsia" w:asciiTheme="minorEastAsia" w:hAnsiTheme="minorEastAsia"/>
          <w:szCs w:val="24"/>
        </w:rPr>
        <w:t>://</w:t>
      </w:r>
      <w:r>
        <w:rPr>
          <w:rFonts w:hint="eastAsia" w:asciiTheme="minorEastAsia" w:hAnsiTheme="minorEastAsia"/>
          <w:szCs w:val="24"/>
          <w:lang w:val="en-US" w:eastAsia="zh-CN"/>
        </w:rPr>
        <w:t>EIP</w:t>
      </w:r>
      <w:r>
        <w:rPr>
          <w:rFonts w:hint="eastAsia" w:asciiTheme="minorEastAsia" w:hAnsiTheme="minorEastAsia"/>
          <w:szCs w:val="24"/>
        </w:rPr>
        <w:t>，在弹出的登陆页面输入规则用户名/密码：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ruleadmin/!1fw@2soc#3vpn</w:t>
      </w:r>
      <w:r>
        <w:rPr>
          <w:rFonts w:hint="eastAsia" w:asciiTheme="minorEastAsia" w:hAnsiTheme="minorEastAsia"/>
          <w:szCs w:val="24"/>
        </w:rPr>
        <w:t>后，进入规则配置平台。</w:t>
      </w:r>
    </w:p>
    <w:p>
      <w:pPr>
        <w:widowControl/>
        <w:ind w:firstLine="480" w:firstLineChars="200"/>
        <w:jc w:val="left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>点击对象设置--&gt;审计对象，点击“添加”，输入需要被审计数据库服务器的相关信息，输入完成以后点击保存，</w:t>
      </w:r>
      <w:r>
        <w:rPr>
          <w:rFonts w:hint="eastAsia" w:asciiTheme="minorEastAsia" w:hAnsiTheme="minorEastAsia"/>
          <w:szCs w:val="24"/>
          <w:lang w:eastAsia="zh-CN"/>
        </w:rPr>
        <w:t>（</w:t>
      </w:r>
      <w:r>
        <w:rPr>
          <w:rFonts w:hint="eastAsia" w:asciiTheme="minorEastAsia" w:hAnsiTheme="minorEastAsia"/>
          <w:szCs w:val="24"/>
          <w:lang w:val="en-US" w:eastAsia="zh-CN"/>
        </w:rPr>
        <w:t>扩展配置可不填</w:t>
      </w:r>
      <w:r>
        <w:rPr>
          <w:rFonts w:hint="eastAsia" w:asciiTheme="minorEastAsia" w:hAnsiTheme="minorEastAsia"/>
          <w:szCs w:val="24"/>
          <w:lang w:eastAsia="zh-CN"/>
        </w:rPr>
        <w:t>）</w:t>
      </w:r>
      <w:r>
        <w:rPr>
          <w:rFonts w:hint="eastAsia" w:asciiTheme="minorEastAsia" w:hAnsiTheme="minorEastAsia"/>
          <w:szCs w:val="24"/>
        </w:rPr>
        <w:t>如下图所示：</w:t>
      </w:r>
    </w:p>
    <w:p>
      <w:pPr>
        <w:jc w:val="center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</w:rPr>
        <w:drawing>
          <wp:inline distT="0" distB="0" distL="0" distR="0">
            <wp:extent cx="4716780" cy="1990725"/>
            <wp:effectExtent l="0" t="0" r="7620" b="952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24293" cy="1993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Style w:val="10"/>
          <w:rFonts w:hint="eastAsia"/>
          <w:lang w:val="en-US" w:eastAsia="zh-CN"/>
        </w:rPr>
      </w:pPr>
      <w:r>
        <w:rPr>
          <w:rFonts w:hint="eastAsia" w:asciiTheme="minorEastAsia" w:hAnsiTheme="minorEastAsia"/>
          <w:b/>
          <w:szCs w:val="24"/>
        </w:rPr>
        <w:t>注：</w:t>
      </w:r>
      <w:r>
        <w:rPr>
          <w:rFonts w:hint="eastAsia" w:asciiTheme="minorEastAsia" w:hAnsiTheme="minorEastAsia"/>
          <w:b/>
          <w:szCs w:val="24"/>
          <w:lang w:val="en-US" w:eastAsia="zh-CN"/>
        </w:rPr>
        <w:t>等保客户可直接勾选等级保护规则</w:t>
      </w:r>
    </w:p>
    <w:p>
      <w:pPr>
        <w:pStyle w:val="4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第五部分、产品应用</w:t>
      </w:r>
    </w:p>
    <w:p>
      <w:pPr>
        <w:widowControl/>
        <w:ind w:firstLine="440" w:firstLineChars="200"/>
        <w:jc w:val="left"/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 w:val="22"/>
          <w:szCs w:val="22"/>
        </w:rPr>
        <w:t>打开浏览器，在地址栏输入http</w:t>
      </w:r>
      <w:r>
        <w:rPr>
          <w:rFonts w:hint="eastAsia" w:asciiTheme="minorEastAsia" w:hAnsiTheme="minorEastAsia"/>
          <w:sz w:val="22"/>
          <w:szCs w:val="22"/>
          <w:lang w:val="en-US" w:eastAsia="zh-CN"/>
        </w:rPr>
        <w:t>s</w:t>
      </w:r>
      <w:r>
        <w:rPr>
          <w:rFonts w:hint="eastAsia" w:asciiTheme="minorEastAsia" w:hAnsiTheme="minorEastAsia"/>
          <w:sz w:val="22"/>
          <w:szCs w:val="22"/>
        </w:rPr>
        <w:t>://</w:t>
      </w:r>
      <w:r>
        <w:rPr>
          <w:rFonts w:hint="eastAsia" w:asciiTheme="minorEastAsia" w:hAnsiTheme="minorEastAsia"/>
          <w:sz w:val="22"/>
          <w:szCs w:val="22"/>
          <w:lang w:val="en-US" w:eastAsia="zh-CN"/>
        </w:rPr>
        <w:t>外网IP</w:t>
      </w:r>
      <w:r>
        <w:rPr>
          <w:rFonts w:hint="eastAsia" w:asciiTheme="minorEastAsia" w:hAnsiTheme="minorEastAsia"/>
          <w:sz w:val="22"/>
          <w:szCs w:val="22"/>
        </w:rPr>
        <w:t>，在弹出的登陆页面输入审计用户名/密码：</w:t>
      </w:r>
      <w:r>
        <w:rPr>
          <w:rFonts w:ascii="宋体" w:hAnsi="宋体" w:eastAsia="宋体" w:cs="宋体"/>
          <w:kern w:val="0"/>
          <w:sz w:val="22"/>
          <w:szCs w:val="22"/>
          <w:lang w:val="en-US" w:eastAsia="zh-CN" w:bidi="ar"/>
        </w:rPr>
        <w:t>auditadmin/!1fw@2soc#3vpn</w:t>
      </w:r>
      <w:r>
        <w:rPr>
          <w:rFonts w:hint="eastAsia" w:asciiTheme="minorEastAsia" w:hAnsiTheme="minorEastAsia"/>
          <w:sz w:val="22"/>
          <w:szCs w:val="22"/>
        </w:rPr>
        <w:t>后，进入审计管理平台</w:t>
      </w:r>
      <w:r>
        <w:rPr>
          <w:rFonts w:hint="eastAsia" w:asciiTheme="minorEastAsia" w:hAnsiTheme="minorEastAsia"/>
          <w:szCs w:val="24"/>
        </w:rPr>
        <w:t>。</w:t>
      </w:r>
    </w:p>
    <w:p>
      <w:pPr>
        <w:pStyle w:val="5"/>
        <w:bidi w:val="0"/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日常行为查询</w:t>
      </w:r>
    </w:p>
    <w:p>
      <w:pPr>
        <w:jc w:val="left"/>
        <w:rPr>
          <w:rFonts w:asciiTheme="minorEastAsia" w:hAnsiTheme="minorEastAsia"/>
          <w:sz w:val="22"/>
          <w:szCs w:val="22"/>
        </w:rPr>
      </w:pPr>
      <w:r>
        <w:rPr>
          <w:rFonts w:hint="eastAsia" w:asciiTheme="minorEastAsia" w:hAnsiTheme="minorEastAsia"/>
          <w:sz w:val="22"/>
          <w:szCs w:val="22"/>
        </w:rPr>
        <w:tab/>
      </w:r>
      <w:r>
        <w:rPr>
          <w:rFonts w:hint="eastAsia" w:asciiTheme="minorEastAsia" w:hAnsiTheme="minorEastAsia"/>
          <w:sz w:val="22"/>
          <w:szCs w:val="22"/>
        </w:rPr>
        <w:t>登陆审计管理平台，进入审计管理--&gt;日常行为查询，输入或选择查询条件后，滚动鼠标到最下方，点击查询。</w:t>
      </w:r>
    </w:p>
    <w:p>
      <w:pPr>
        <w:jc w:val="center"/>
        <w:rPr>
          <w:rFonts w:asciiTheme="minorEastAsia" w:hAnsiTheme="minorEastAsia"/>
          <w:szCs w:val="24"/>
        </w:rPr>
      </w:pPr>
      <w:r>
        <w:drawing>
          <wp:inline distT="0" distB="0" distL="114300" distR="114300">
            <wp:extent cx="5266690" cy="2235835"/>
            <wp:effectExtent l="0" t="0" r="10160" b="1206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3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/>
          <w:sz w:val="22"/>
          <w:szCs w:val="22"/>
        </w:rPr>
      </w:pPr>
      <w:r>
        <w:rPr>
          <w:rFonts w:hint="eastAsia" w:asciiTheme="minorEastAsia" w:hAnsiTheme="minorEastAsia"/>
          <w:sz w:val="22"/>
          <w:szCs w:val="22"/>
        </w:rPr>
        <w:t>注：查看能否审计到数据时，一般按照默认的选项进行查询就可以了。</w:t>
      </w:r>
    </w:p>
    <w:p>
      <w:pPr>
        <w:jc w:val="left"/>
        <w:rPr>
          <w:rFonts w:hint="default" w:asciiTheme="minorEastAsia" w:hAnsiTheme="minorEastAsia"/>
          <w:sz w:val="22"/>
          <w:szCs w:val="22"/>
          <w:lang w:val="en-US" w:eastAsia="zh-CN"/>
        </w:rPr>
      </w:pPr>
    </w:p>
    <w:p>
      <w:pPr>
        <w:pStyle w:val="5"/>
        <w:bidi w:val="0"/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审计结果显示</w:t>
      </w:r>
    </w:p>
    <w:p>
      <w:pPr>
        <w:rPr>
          <w:rFonts w:asciiTheme="minorEastAsia" w:hAnsiTheme="minorEastAsia"/>
          <w:szCs w:val="24"/>
        </w:rPr>
      </w:pPr>
      <w:r>
        <w:rPr>
          <w:rFonts w:hint="eastAsia" w:asciiTheme="minorEastAsia" w:hAnsiTheme="minorEastAsia"/>
          <w:szCs w:val="24"/>
        </w:rPr>
        <w:tab/>
      </w:r>
      <w:r>
        <w:rPr>
          <w:rFonts w:hint="eastAsia" w:asciiTheme="minorEastAsia" w:hAnsiTheme="minorEastAsia"/>
          <w:szCs w:val="24"/>
        </w:rPr>
        <w:t>点击</w:t>
      </w:r>
      <w:r>
        <w:rPr>
          <w:rFonts w:hint="eastAsia" w:asciiTheme="minorEastAsia" w:hAnsiTheme="minorEastAsia"/>
          <w:szCs w:val="24"/>
          <w:lang w:val="en-US" w:eastAsia="zh-CN"/>
        </w:rPr>
        <w:t>任意一条日志可查看具体审计信息，</w:t>
      </w:r>
      <w:r>
        <w:rPr>
          <w:rFonts w:hint="eastAsia" w:asciiTheme="minorEastAsia" w:hAnsiTheme="minorEastAsia"/>
          <w:szCs w:val="24"/>
        </w:rPr>
        <w:t>设备基础配置到此完成。</w:t>
      </w:r>
    </w:p>
    <w:p>
      <w:pPr>
        <w:rPr>
          <w:rFonts w:asciiTheme="minorEastAsia" w:hAnsiTheme="minorEastAsia"/>
          <w:szCs w:val="24"/>
        </w:rPr>
      </w:pPr>
      <w:r>
        <w:drawing>
          <wp:inline distT="0" distB="0" distL="114300" distR="114300">
            <wp:extent cx="4347845" cy="2605405"/>
            <wp:effectExtent l="0" t="0" r="14605" b="4445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47845" cy="260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67314"/>
    <w:rsid w:val="113B3972"/>
    <w:rsid w:val="24E63128"/>
    <w:rsid w:val="3FCD4CF0"/>
    <w:rsid w:val="73867314"/>
    <w:rsid w:val="797E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9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link w:val="2"/>
    <w:qFormat/>
    <w:uiPriority w:val="9"/>
    <w:rPr>
      <w:b/>
      <w:kern w:val="44"/>
      <w:sz w:val="44"/>
    </w:rPr>
  </w:style>
  <w:style w:type="character" w:customStyle="1" w:styleId="9">
    <w:name w:val="标题 3 Char"/>
    <w:link w:val="4"/>
    <w:qFormat/>
    <w:uiPriority w:val="0"/>
    <w:rPr>
      <w:b/>
      <w:sz w:val="32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2020-06-10T07:25:00Z</dcterms:created>
  <dc:creator>Aimee.Xue</dc:creator>
  <cp:lastModifiedBy>Aimee.Xue</cp:lastModifiedBy>
  <dcterms:modified xsi:type="dcterms:W3CDTF">2020-07-20T08:48:27Z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